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  <w:rPr>
          <w:b/>
          <w:caps/>
        </w:rPr>
      </w:pPr>
      <w:r>
        <w:object w:dxaOrig="10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4.45pt" o:ole="">
            <v:imagedata r:id="rId9" o:title=""/>
          </v:shape>
          <o:OLEObject Type="Embed" ProgID="Word.Picture.8" ShapeID="_x0000_i1025" DrawAspect="Content" ObjectID="_1508661294" r:id="rId10"/>
        </w:object>
      </w: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  <w:rPr>
          <w:b/>
          <w:caps/>
          <w:sz w:val="10"/>
          <w:szCs w:val="10"/>
        </w:rPr>
      </w:pP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  <w:rPr>
          <w:b/>
          <w:caps/>
        </w:rPr>
      </w:pPr>
      <w:r>
        <w:rPr>
          <w:b/>
          <w:caps/>
        </w:rPr>
        <w:t>МИНИСТЕРСТВО</w:t>
      </w: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  <w:rPr>
          <w:b/>
        </w:rPr>
      </w:pPr>
      <w:r>
        <w:rPr>
          <w:b/>
          <w:caps/>
        </w:rPr>
        <w:t>ТАРИФНОГО РЕГУЛИРОВАНИЯ</w:t>
      </w: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  <w:rPr>
          <w:b/>
        </w:rPr>
      </w:pPr>
      <w:r>
        <w:rPr>
          <w:b/>
        </w:rPr>
        <w:t>КАЛУЖСКОЙ ОБЛАСТИ</w:t>
      </w: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  <w:rPr>
          <w:b/>
        </w:rPr>
      </w:pP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  <w:rPr>
          <w:b/>
          <w:szCs w:val="22"/>
        </w:rPr>
      </w:pPr>
      <w:proofErr w:type="gramStart"/>
      <w:r>
        <w:rPr>
          <w:b/>
          <w:szCs w:val="22"/>
        </w:rPr>
        <w:t>П</w:t>
      </w:r>
      <w:proofErr w:type="gramEnd"/>
      <w:r>
        <w:rPr>
          <w:b/>
          <w:szCs w:val="22"/>
        </w:rPr>
        <w:t xml:space="preserve"> Р И К А З </w:t>
      </w:r>
    </w:p>
    <w:p w:rsidR="00D754B7" w:rsidRDefault="00D754B7" w:rsidP="007C20F5">
      <w:pPr>
        <w:framePr w:w="4283" w:h="2478" w:hSpace="851" w:wrap="around" w:vAnchor="page" w:hAnchor="page" w:x="1430" w:y="1153" w:anchorLock="1"/>
        <w:jc w:val="center"/>
      </w:pPr>
    </w:p>
    <w:tbl>
      <w:tblPr>
        <w:tblW w:w="42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125"/>
        <w:gridCol w:w="425"/>
        <w:gridCol w:w="1141"/>
      </w:tblGrid>
      <w:tr w:rsidR="00D754B7" w:rsidTr="007C20F5">
        <w:trPr>
          <w:trHeight w:val="330"/>
        </w:trPr>
        <w:tc>
          <w:tcPr>
            <w:tcW w:w="569" w:type="dxa"/>
            <w:hideMark/>
          </w:tcPr>
          <w:p w:rsidR="00D754B7" w:rsidRDefault="00D754B7" w:rsidP="007C20F5">
            <w:pPr>
              <w:framePr w:w="4283" w:h="2478" w:hSpace="851" w:wrap="around" w:vAnchor="page" w:hAnchor="page" w:x="1430" w:y="1153" w:anchorLock="1"/>
              <w:jc w:val="center"/>
            </w:pPr>
            <w:r>
              <w:t>от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4B7" w:rsidRPr="007C20F5" w:rsidRDefault="007C20F5" w:rsidP="007C20F5">
            <w:pPr>
              <w:framePr w:w="4283" w:h="2478" w:hSpace="851" w:wrap="around" w:vAnchor="page" w:hAnchor="page" w:x="1430" w:y="1153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  <w:hideMark/>
          </w:tcPr>
          <w:p w:rsidR="00D754B7" w:rsidRDefault="00D754B7" w:rsidP="007C20F5">
            <w:pPr>
              <w:framePr w:w="4283" w:h="2478" w:hSpace="851" w:wrap="around" w:vAnchor="page" w:hAnchor="page" w:x="1430" w:y="1153" w:anchorLock="1"/>
              <w:jc w:val="center"/>
            </w:pPr>
            <w:r>
              <w:t>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54B7" w:rsidRDefault="007C20F5" w:rsidP="007C20F5">
            <w:pPr>
              <w:framePr w:w="4283" w:h="2478" w:hSpace="851" w:wrap="around" w:vAnchor="page" w:hAnchor="page" w:x="1430" w:y="1153" w:anchorLock="1"/>
              <w:jc w:val="center"/>
            </w:pPr>
            <w:r>
              <w:t>255</w:t>
            </w:r>
            <w:r w:rsidR="00D754B7">
              <w:t>-РК</w:t>
            </w:r>
          </w:p>
        </w:tc>
      </w:tr>
    </w:tbl>
    <w:p w:rsidR="00D754B7" w:rsidRDefault="00D754B7" w:rsidP="007C20F5">
      <w:pPr>
        <w:framePr w:w="4283" w:h="2478" w:hSpace="851" w:wrap="around" w:vAnchor="page" w:hAnchor="page" w:x="1430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</w:tblGrid>
      <w:tr w:rsidR="00BF0CE7" w:rsidRPr="00B223F8" w:rsidTr="00FB52FE">
        <w:trPr>
          <w:trHeight w:val="641"/>
        </w:trPr>
        <w:tc>
          <w:tcPr>
            <w:tcW w:w="6237" w:type="dxa"/>
            <w:hideMark/>
          </w:tcPr>
          <w:p w:rsidR="00BF0CE7" w:rsidRPr="00B223F8" w:rsidRDefault="00BF0CE7" w:rsidP="00FB52FE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FB52FE">
              <w:rPr>
                <w:b/>
                <w:sz w:val="26"/>
                <w:szCs w:val="26"/>
              </w:rPr>
              <w:t xml:space="preserve">             </w:t>
            </w:r>
            <w:r w:rsidR="003F40F6">
              <w:rPr>
                <w:b/>
                <w:sz w:val="26"/>
                <w:szCs w:val="26"/>
              </w:rPr>
              <w:t xml:space="preserve">на питьевую воду (питьевое водоснабжение), </w:t>
            </w:r>
            <w:r w:rsidR="00FB52FE">
              <w:rPr>
                <w:b/>
                <w:sz w:val="26"/>
                <w:szCs w:val="26"/>
              </w:rPr>
              <w:t xml:space="preserve">      </w:t>
            </w:r>
            <w:r w:rsidR="003F40F6">
              <w:rPr>
                <w:b/>
                <w:sz w:val="26"/>
                <w:szCs w:val="26"/>
              </w:rPr>
              <w:t>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BD0D2E">
              <w:rPr>
                <w:b/>
                <w:sz w:val="26"/>
                <w:szCs w:val="26"/>
              </w:rPr>
              <w:t>Ф</w:t>
            </w:r>
            <w:r w:rsidR="003F40F6">
              <w:rPr>
                <w:b/>
                <w:sz w:val="26"/>
                <w:szCs w:val="26"/>
              </w:rPr>
              <w:t>едерального государственного казенного учреждения комбинат «Вымпел» Управления Федерального аген</w:t>
            </w:r>
            <w:r w:rsidR="008D3953">
              <w:rPr>
                <w:b/>
                <w:sz w:val="26"/>
                <w:szCs w:val="26"/>
              </w:rPr>
              <w:t>т</w:t>
            </w:r>
            <w:r w:rsidR="003F40F6">
              <w:rPr>
                <w:b/>
                <w:sz w:val="26"/>
                <w:szCs w:val="26"/>
              </w:rPr>
              <w:t>ства по государственным резервам по Центральному федеральному округу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>20.02.2014 №</w:t>
      </w:r>
      <w:r w:rsidR="005016DE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128, от 03.06.2014 № 510, от 26.06.2014 № 588, от 01.07.2014 № 603, от 09.08.2014 № 781, от 02.10.2014 № 1011, от 20.11.2014 № 1227, от 01.12.2014 № 1289, 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75CD0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России от 24.11.2014 № 2054-э, от 27.05.2015 № 1080-э), Положением о министерстве тарифного регулирования Калужской области, 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9440B0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</w:t>
      </w:r>
      <w:r w:rsidR="00FB52FE">
        <w:rPr>
          <w:sz w:val="26"/>
          <w:szCs w:val="26"/>
        </w:rPr>
        <w:t>254</w:t>
      </w:r>
      <w:r w:rsidR="00BF0CE7" w:rsidRPr="00B60FC6">
        <w:rPr>
          <w:sz w:val="26"/>
          <w:szCs w:val="26"/>
        </w:rPr>
        <w:t>-РК «Об утверждении производственн</w:t>
      </w:r>
      <w:r w:rsidR="005215CE">
        <w:rPr>
          <w:sz w:val="26"/>
          <w:szCs w:val="26"/>
        </w:rPr>
        <w:t>ой</w:t>
      </w:r>
      <w:r w:rsidR="00BF0CE7" w:rsidRPr="00B60FC6">
        <w:rPr>
          <w:sz w:val="26"/>
          <w:szCs w:val="26"/>
        </w:rPr>
        <w:t xml:space="preserve"> программ</w:t>
      </w:r>
      <w:r w:rsidR="005215CE">
        <w:rPr>
          <w:sz w:val="26"/>
          <w:szCs w:val="26"/>
        </w:rPr>
        <w:t>ы</w:t>
      </w:r>
      <w:r w:rsidR="00BF0CE7" w:rsidRPr="00B60FC6">
        <w:rPr>
          <w:sz w:val="26"/>
          <w:szCs w:val="26"/>
        </w:rPr>
        <w:t xml:space="preserve"> в сфере водоснабжения и (или) водоотведения </w:t>
      </w:r>
      <w:r w:rsidR="005215CE">
        <w:rPr>
          <w:sz w:val="26"/>
          <w:szCs w:val="26"/>
        </w:rPr>
        <w:t xml:space="preserve">для </w:t>
      </w:r>
      <w:r w:rsidR="00BD0D2E">
        <w:rPr>
          <w:sz w:val="26"/>
          <w:szCs w:val="26"/>
        </w:rPr>
        <w:t>Ф</w:t>
      </w:r>
      <w:r w:rsidR="005215CE" w:rsidRPr="005215CE">
        <w:rPr>
          <w:sz w:val="26"/>
          <w:szCs w:val="26"/>
        </w:rPr>
        <w:t>едерального государственного казенного учреждения комбинат «Вымпел» Управления Федерального</w:t>
      </w:r>
      <w:proofErr w:type="gramEnd"/>
      <w:r w:rsidR="005215CE" w:rsidRPr="005215CE">
        <w:rPr>
          <w:sz w:val="26"/>
          <w:szCs w:val="26"/>
        </w:rPr>
        <w:t xml:space="preserve"> аген</w:t>
      </w:r>
      <w:r w:rsidR="008D3953">
        <w:rPr>
          <w:sz w:val="26"/>
          <w:szCs w:val="26"/>
        </w:rPr>
        <w:t>т</w:t>
      </w:r>
      <w:r w:rsidR="005215CE" w:rsidRPr="005215CE">
        <w:rPr>
          <w:sz w:val="26"/>
          <w:szCs w:val="26"/>
        </w:rPr>
        <w:t>ства по государственным резервам по Центральному федеральному округу</w:t>
      </w:r>
      <w:r w:rsidR="005215CE" w:rsidRPr="00B60FC6">
        <w:rPr>
          <w:sz w:val="26"/>
          <w:szCs w:val="26"/>
        </w:rPr>
        <w:t xml:space="preserve"> </w:t>
      </w:r>
      <w:r w:rsidR="00BF0CE7" w:rsidRPr="00B60FC6">
        <w:rPr>
          <w:sz w:val="26"/>
          <w:szCs w:val="26"/>
        </w:rPr>
        <w:t xml:space="preserve">на 2016–2018 годы»,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B5598C">
        <w:rPr>
          <w:sz w:val="26"/>
          <w:szCs w:val="26"/>
        </w:rPr>
        <w:t>ния Калужской области от 09.11.2015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B223F8">
        <w:rPr>
          <w:rFonts w:eastAsia="Calibri"/>
          <w:sz w:val="26"/>
          <w:szCs w:val="26"/>
          <w:lang w:eastAsia="en-US"/>
        </w:rPr>
        <w:t xml:space="preserve">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3F40F6">
        <w:rPr>
          <w:sz w:val="26"/>
          <w:szCs w:val="26"/>
        </w:rPr>
        <w:t>на питьевую воду (питьевое водоснабжение),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BD0D2E">
        <w:rPr>
          <w:sz w:val="26"/>
          <w:szCs w:val="26"/>
        </w:rPr>
        <w:t>Ф</w:t>
      </w:r>
      <w:r w:rsidR="003F40F6">
        <w:rPr>
          <w:sz w:val="26"/>
          <w:szCs w:val="26"/>
        </w:rPr>
        <w:t xml:space="preserve">едерального государственного казенного учреждения комбинат «Вымпел» Управления Федерального </w:t>
      </w:r>
      <w:proofErr w:type="spellStart"/>
      <w:r w:rsidR="003F40F6">
        <w:rPr>
          <w:sz w:val="26"/>
          <w:szCs w:val="26"/>
        </w:rPr>
        <w:t>агенства</w:t>
      </w:r>
      <w:proofErr w:type="spellEnd"/>
      <w:r w:rsidR="003F40F6">
        <w:rPr>
          <w:sz w:val="26"/>
          <w:szCs w:val="26"/>
        </w:rPr>
        <w:t xml:space="preserve"> по государственным резервам по Центральному федеральному округу</w:t>
      </w:r>
      <w:r w:rsidR="00FD726E">
        <w:rPr>
          <w:sz w:val="26"/>
          <w:szCs w:val="26"/>
        </w:rPr>
        <w:t xml:space="preserve">, </w:t>
      </w:r>
      <w:r w:rsidR="00FD726E">
        <w:rPr>
          <w:sz w:val="26"/>
          <w:szCs w:val="26"/>
        </w:rPr>
        <w:lastRenderedPageBreak/>
        <w:t>деятельность которого не облагается НДС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  <w:proofErr w:type="gramEnd"/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BD0D2E">
        <w:rPr>
          <w:sz w:val="26"/>
          <w:szCs w:val="26"/>
        </w:rPr>
        <w:t>Ф</w:t>
      </w:r>
      <w:r w:rsidR="003F40F6">
        <w:rPr>
          <w:sz w:val="26"/>
          <w:szCs w:val="26"/>
        </w:rPr>
        <w:t>едерального государственного казенного учреждения комбинат «Вымпел» Управления Федерального аген</w:t>
      </w:r>
      <w:r w:rsidR="008D3953">
        <w:rPr>
          <w:sz w:val="26"/>
          <w:szCs w:val="26"/>
        </w:rPr>
        <w:t>т</w:t>
      </w:r>
      <w:r w:rsidR="003F40F6">
        <w:rPr>
          <w:sz w:val="26"/>
          <w:szCs w:val="26"/>
        </w:rPr>
        <w:t>ства по государственным резервам по Центральному федеральному округу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6B1749" w:rsidRPr="00B223F8" w:rsidRDefault="006B1749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FB52FE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FB52FE">
        <w:rPr>
          <w:sz w:val="26"/>
          <w:szCs w:val="26"/>
        </w:rPr>
        <w:t>255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FB52FE" w:rsidRDefault="005B7617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3F40F6">
        <w:rPr>
          <w:b/>
          <w:sz w:val="26"/>
          <w:szCs w:val="26"/>
        </w:rPr>
        <w:t>на питьевую воду (питьевое водоснабжение), на водоотведение</w:t>
      </w:r>
      <w:r w:rsidR="00BF0CE7" w:rsidRPr="00CB58CA">
        <w:rPr>
          <w:b/>
          <w:sz w:val="26"/>
          <w:szCs w:val="26"/>
        </w:rPr>
        <w:t xml:space="preserve"> для </w:t>
      </w:r>
      <w:r w:rsidR="00BD0D2E">
        <w:rPr>
          <w:b/>
          <w:spacing w:val="7"/>
          <w:sz w:val="26"/>
          <w:szCs w:val="26"/>
        </w:rPr>
        <w:t>Ф</w:t>
      </w:r>
      <w:r w:rsidR="003F40F6">
        <w:rPr>
          <w:b/>
          <w:spacing w:val="7"/>
          <w:sz w:val="26"/>
          <w:szCs w:val="26"/>
        </w:rPr>
        <w:t>едерального государственного казенного учреждения комбинат «Вымпел» Управления Федерального аген</w:t>
      </w:r>
      <w:r w:rsidR="008D3953">
        <w:rPr>
          <w:b/>
          <w:spacing w:val="7"/>
          <w:sz w:val="26"/>
          <w:szCs w:val="26"/>
        </w:rPr>
        <w:t>т</w:t>
      </w:r>
      <w:r w:rsidR="003F40F6">
        <w:rPr>
          <w:b/>
          <w:spacing w:val="7"/>
          <w:sz w:val="26"/>
          <w:szCs w:val="26"/>
        </w:rPr>
        <w:t>ства по государственным резервам</w:t>
      </w:r>
    </w:p>
    <w:p w:rsidR="00BF0CE7" w:rsidRPr="00CB58CA" w:rsidRDefault="003F40F6" w:rsidP="00BF0CE7">
      <w:pPr>
        <w:jc w:val="center"/>
        <w:rPr>
          <w:b/>
          <w:spacing w:val="7"/>
          <w:sz w:val="26"/>
          <w:szCs w:val="26"/>
        </w:rPr>
      </w:pPr>
      <w:r>
        <w:rPr>
          <w:b/>
          <w:spacing w:val="7"/>
          <w:sz w:val="26"/>
          <w:szCs w:val="26"/>
        </w:rPr>
        <w:t>по Центральному федеральному округу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="00FB52FE">
        <w:rPr>
          <w:b/>
          <w:spacing w:val="7"/>
          <w:sz w:val="26"/>
          <w:szCs w:val="26"/>
        </w:rPr>
        <w:t>на 2016</w:t>
      </w:r>
      <w:r w:rsidR="00BF0CE7" w:rsidRPr="00CB58CA">
        <w:rPr>
          <w:b/>
          <w:spacing w:val="7"/>
          <w:sz w:val="26"/>
          <w:szCs w:val="26"/>
        </w:rPr>
        <w:t>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FB52FE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FB52FE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B52FE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FB52FE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B52FE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FB52FE" w:rsidRDefault="00624DB8" w:rsidP="00BF3F55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FB52FE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FB52FE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FB52FE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624DB8" w:rsidP="00BF3F55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624DB8" w:rsidP="00BF3F55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624DB8" w:rsidP="00BF3F55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624DB8" w:rsidP="00BF3F55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624DB8" w:rsidP="00BF3F55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624DB8" w:rsidP="00BF3F55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FB52FE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FB52FE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Тарифы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r w:rsidRPr="00FB52FE">
              <w:rPr>
                <w:sz w:val="20"/>
                <w:szCs w:val="20"/>
              </w:rPr>
              <w:t>Питьевая вода</w:t>
            </w:r>
            <w:r w:rsidR="001555C6" w:rsidRPr="00FB52FE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14,88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15,61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FB52FE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B52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2FE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r w:rsidRPr="00FB52FE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r w:rsidRPr="00FB52F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5,54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5,8</w:t>
            </w:r>
            <w:r w:rsidR="00285998" w:rsidRPr="00FB52FE">
              <w:rPr>
                <w:sz w:val="20"/>
                <w:szCs w:val="20"/>
              </w:rPr>
              <w:t>0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r w:rsidRPr="00FB52FE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</w:tr>
      <w:tr w:rsidR="00624DB8" w:rsidRPr="00FB52FE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FB52FE" w:rsidRDefault="00624DB8" w:rsidP="00D754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Тарифы для населения</w:t>
            </w:r>
          </w:p>
        </w:tc>
      </w:tr>
      <w:tr w:rsidR="0028599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285998" w:rsidRPr="00FB52FE" w:rsidRDefault="00285998" w:rsidP="0038022B">
            <w:pPr>
              <w:rPr>
                <w:sz w:val="20"/>
                <w:szCs w:val="20"/>
                <w:lang w:val="en-US"/>
              </w:rPr>
            </w:pPr>
            <w:r w:rsidRPr="00FB52FE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998" w:rsidRPr="00FB52FE" w:rsidRDefault="00285998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руб./м</w:t>
            </w:r>
            <w:r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14,88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15,61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FB52FE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FB52F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2FE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r w:rsidRPr="00FB52FE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</w:tr>
      <w:tr w:rsidR="0028599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285998" w:rsidRPr="00FB52FE" w:rsidRDefault="00285998" w:rsidP="0038022B">
            <w:pPr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5998" w:rsidRPr="00FB52FE" w:rsidRDefault="00285998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руб./м</w:t>
            </w:r>
            <w:r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5,54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85998" w:rsidRPr="00FB52FE" w:rsidRDefault="00285998" w:rsidP="00182B06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5,80</w:t>
            </w:r>
          </w:p>
        </w:tc>
      </w:tr>
      <w:tr w:rsidR="00624DB8" w:rsidRPr="00FB52FE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FB52FE" w:rsidRDefault="00624DB8" w:rsidP="0038022B">
            <w:pPr>
              <w:rPr>
                <w:sz w:val="20"/>
                <w:szCs w:val="20"/>
                <w:lang w:val="en-US"/>
              </w:rPr>
            </w:pPr>
            <w:r w:rsidRPr="00FB52FE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FB52FE" w:rsidRDefault="00EB3714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руб./</w:t>
            </w:r>
            <w:r w:rsidR="00624DB8" w:rsidRPr="00FB52FE">
              <w:rPr>
                <w:sz w:val="20"/>
                <w:szCs w:val="20"/>
              </w:rPr>
              <w:t>м</w:t>
            </w:r>
            <w:r w:rsidR="00624DB8" w:rsidRPr="00FB5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FB52FE" w:rsidRDefault="003F40F6" w:rsidP="0038022B">
            <w:pPr>
              <w:jc w:val="center"/>
              <w:rPr>
                <w:sz w:val="20"/>
                <w:szCs w:val="20"/>
              </w:rPr>
            </w:pPr>
            <w:r w:rsidRPr="00FB52FE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FB52FE" w:rsidP="00E37A50">
      <w:pPr>
        <w:jc w:val="right"/>
        <w:rPr>
          <w:sz w:val="26"/>
          <w:szCs w:val="26"/>
        </w:rPr>
      </w:pPr>
      <w:r w:rsidRPr="00FB52FE">
        <w:rPr>
          <w:sz w:val="26"/>
          <w:szCs w:val="26"/>
        </w:rPr>
        <w:t>от 09.11.2015 № 255-РК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FB52FE" w:rsidRDefault="00FB52FE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B52FE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FB52FE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FB52FE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BD0D2E">
        <w:rPr>
          <w:b/>
          <w:sz w:val="26"/>
          <w:szCs w:val="26"/>
        </w:rPr>
        <w:t>Ф</w:t>
      </w:r>
      <w:r w:rsidR="003F40F6">
        <w:rPr>
          <w:b/>
          <w:sz w:val="26"/>
          <w:szCs w:val="26"/>
        </w:rPr>
        <w:t>едерального государственного казенного учреждения комбинат «Вымпел» Управления Федерального аген</w:t>
      </w:r>
      <w:r w:rsidR="008D3953">
        <w:rPr>
          <w:b/>
          <w:sz w:val="26"/>
          <w:szCs w:val="26"/>
        </w:rPr>
        <w:t>т</w:t>
      </w:r>
      <w:r w:rsidR="003F40F6">
        <w:rPr>
          <w:b/>
          <w:sz w:val="26"/>
          <w:szCs w:val="26"/>
        </w:rPr>
        <w:t>ства по государственным резервам по Центральному федеральному округу</w:t>
      </w:r>
      <w:r>
        <w:rPr>
          <w:b/>
          <w:sz w:val="26"/>
          <w:szCs w:val="26"/>
        </w:rPr>
        <w:t xml:space="preserve"> устанавливаемые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3F40F6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21" w:rsidRDefault="00E82A21" w:rsidP="00AF6369">
      <w:r>
        <w:separator/>
      </w:r>
    </w:p>
  </w:endnote>
  <w:endnote w:type="continuationSeparator" w:id="0">
    <w:p w:rsidR="00E82A21" w:rsidRDefault="00E82A21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21" w:rsidRDefault="00E82A21" w:rsidP="00AF6369">
      <w:r>
        <w:separator/>
      </w:r>
    </w:p>
  </w:footnote>
  <w:footnote w:type="continuationSeparator" w:id="0">
    <w:p w:rsidR="00E82A21" w:rsidRDefault="00E82A21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6"/>
    <w:rsid w:val="0000542E"/>
    <w:rsid w:val="00020722"/>
    <w:rsid w:val="0002193A"/>
    <w:rsid w:val="0002341E"/>
    <w:rsid w:val="000242F5"/>
    <w:rsid w:val="00027B58"/>
    <w:rsid w:val="00031FD9"/>
    <w:rsid w:val="0003300A"/>
    <w:rsid w:val="00036017"/>
    <w:rsid w:val="0005052D"/>
    <w:rsid w:val="00063F8F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1AFA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67DAD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46DB2"/>
    <w:rsid w:val="002512DE"/>
    <w:rsid w:val="00254F33"/>
    <w:rsid w:val="00257A80"/>
    <w:rsid w:val="00257D7F"/>
    <w:rsid w:val="00262FB3"/>
    <w:rsid w:val="002631B4"/>
    <w:rsid w:val="00265C42"/>
    <w:rsid w:val="00273A68"/>
    <w:rsid w:val="00283EBB"/>
    <w:rsid w:val="00284882"/>
    <w:rsid w:val="00285998"/>
    <w:rsid w:val="00285B2E"/>
    <w:rsid w:val="00286DB0"/>
    <w:rsid w:val="00290648"/>
    <w:rsid w:val="002A118E"/>
    <w:rsid w:val="002B14FB"/>
    <w:rsid w:val="002B3542"/>
    <w:rsid w:val="002C651D"/>
    <w:rsid w:val="002D3AF1"/>
    <w:rsid w:val="002E15E2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1F3F"/>
    <w:rsid w:val="0031381C"/>
    <w:rsid w:val="00313C10"/>
    <w:rsid w:val="00333B23"/>
    <w:rsid w:val="00335A90"/>
    <w:rsid w:val="003404FD"/>
    <w:rsid w:val="003508FA"/>
    <w:rsid w:val="003519AD"/>
    <w:rsid w:val="00353C8E"/>
    <w:rsid w:val="00355738"/>
    <w:rsid w:val="00355D01"/>
    <w:rsid w:val="003567EF"/>
    <w:rsid w:val="00356B4B"/>
    <w:rsid w:val="00375CD0"/>
    <w:rsid w:val="0038022B"/>
    <w:rsid w:val="0039459A"/>
    <w:rsid w:val="003A1820"/>
    <w:rsid w:val="003A6FF1"/>
    <w:rsid w:val="003B35A4"/>
    <w:rsid w:val="003C1509"/>
    <w:rsid w:val="003C50A2"/>
    <w:rsid w:val="003D16C9"/>
    <w:rsid w:val="003E01AC"/>
    <w:rsid w:val="003E0555"/>
    <w:rsid w:val="003E49AB"/>
    <w:rsid w:val="003E520A"/>
    <w:rsid w:val="003F40F6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36DB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5366"/>
    <w:rsid w:val="00497A0C"/>
    <w:rsid w:val="00497E8B"/>
    <w:rsid w:val="004A4263"/>
    <w:rsid w:val="004A6315"/>
    <w:rsid w:val="004B4D5E"/>
    <w:rsid w:val="004C0887"/>
    <w:rsid w:val="004C1337"/>
    <w:rsid w:val="004E6FD0"/>
    <w:rsid w:val="004E7E39"/>
    <w:rsid w:val="004F327A"/>
    <w:rsid w:val="005016DE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15CE"/>
    <w:rsid w:val="00530B67"/>
    <w:rsid w:val="00535AA0"/>
    <w:rsid w:val="0054765A"/>
    <w:rsid w:val="0055585F"/>
    <w:rsid w:val="005620A9"/>
    <w:rsid w:val="00562FB1"/>
    <w:rsid w:val="00563E50"/>
    <w:rsid w:val="005648AA"/>
    <w:rsid w:val="00571F87"/>
    <w:rsid w:val="00573E41"/>
    <w:rsid w:val="00575A15"/>
    <w:rsid w:val="005856A4"/>
    <w:rsid w:val="0058668B"/>
    <w:rsid w:val="00596356"/>
    <w:rsid w:val="005A0C19"/>
    <w:rsid w:val="005A7BFD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87047"/>
    <w:rsid w:val="006A0BC8"/>
    <w:rsid w:val="006A0C9E"/>
    <w:rsid w:val="006A5424"/>
    <w:rsid w:val="006A6468"/>
    <w:rsid w:val="006B1749"/>
    <w:rsid w:val="006C0FC9"/>
    <w:rsid w:val="006C12B9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20F5"/>
    <w:rsid w:val="007C45CC"/>
    <w:rsid w:val="007D0113"/>
    <w:rsid w:val="007D0E1C"/>
    <w:rsid w:val="007D5BCD"/>
    <w:rsid w:val="007E22DF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31C33"/>
    <w:rsid w:val="00843606"/>
    <w:rsid w:val="00851233"/>
    <w:rsid w:val="0085133E"/>
    <w:rsid w:val="00855E41"/>
    <w:rsid w:val="00857C45"/>
    <w:rsid w:val="0086071D"/>
    <w:rsid w:val="00861976"/>
    <w:rsid w:val="00866046"/>
    <w:rsid w:val="008660CF"/>
    <w:rsid w:val="0086687E"/>
    <w:rsid w:val="0087358F"/>
    <w:rsid w:val="008740FA"/>
    <w:rsid w:val="00875472"/>
    <w:rsid w:val="00875E27"/>
    <w:rsid w:val="008815DE"/>
    <w:rsid w:val="00882784"/>
    <w:rsid w:val="00882FA9"/>
    <w:rsid w:val="00890EE0"/>
    <w:rsid w:val="00896FBC"/>
    <w:rsid w:val="00897989"/>
    <w:rsid w:val="008A5C32"/>
    <w:rsid w:val="008D0DE2"/>
    <w:rsid w:val="008D3953"/>
    <w:rsid w:val="008E21C7"/>
    <w:rsid w:val="008F2502"/>
    <w:rsid w:val="009029D3"/>
    <w:rsid w:val="00926966"/>
    <w:rsid w:val="00930857"/>
    <w:rsid w:val="00930A24"/>
    <w:rsid w:val="009369B8"/>
    <w:rsid w:val="0093714D"/>
    <w:rsid w:val="009440B0"/>
    <w:rsid w:val="009621A6"/>
    <w:rsid w:val="00965A11"/>
    <w:rsid w:val="00966F01"/>
    <w:rsid w:val="0098218C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23E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26D58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34A2"/>
    <w:rsid w:val="00AA6814"/>
    <w:rsid w:val="00AB6E70"/>
    <w:rsid w:val="00AC4972"/>
    <w:rsid w:val="00AD0A5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598C"/>
    <w:rsid w:val="00B5602A"/>
    <w:rsid w:val="00B60FC6"/>
    <w:rsid w:val="00B61451"/>
    <w:rsid w:val="00B6419B"/>
    <w:rsid w:val="00B66F01"/>
    <w:rsid w:val="00B706C4"/>
    <w:rsid w:val="00B74395"/>
    <w:rsid w:val="00B81251"/>
    <w:rsid w:val="00B824A3"/>
    <w:rsid w:val="00B826BA"/>
    <w:rsid w:val="00B858F3"/>
    <w:rsid w:val="00B95947"/>
    <w:rsid w:val="00BA085A"/>
    <w:rsid w:val="00BC7AEB"/>
    <w:rsid w:val="00BD079A"/>
    <w:rsid w:val="00BD0D2E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57233"/>
    <w:rsid w:val="00C7308D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754B7"/>
    <w:rsid w:val="00D83871"/>
    <w:rsid w:val="00D84BED"/>
    <w:rsid w:val="00D909BA"/>
    <w:rsid w:val="00D90E69"/>
    <w:rsid w:val="00D96047"/>
    <w:rsid w:val="00D9667A"/>
    <w:rsid w:val="00D96D09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2A21"/>
    <w:rsid w:val="00E84DD7"/>
    <w:rsid w:val="00E92C29"/>
    <w:rsid w:val="00E93554"/>
    <w:rsid w:val="00E939BF"/>
    <w:rsid w:val="00EA0362"/>
    <w:rsid w:val="00EA0809"/>
    <w:rsid w:val="00EA4BD3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34B39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A6E39"/>
    <w:rsid w:val="00FB52FE"/>
    <w:rsid w:val="00FB5871"/>
    <w:rsid w:val="00FB75E7"/>
    <w:rsid w:val="00FB79E8"/>
    <w:rsid w:val="00FC53D5"/>
    <w:rsid w:val="00FD2CF6"/>
    <w:rsid w:val="00FD5003"/>
    <w:rsid w:val="00FD56C1"/>
    <w:rsid w:val="00FD726E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8815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81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8815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881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400B-14AA-41E4-B41A-51DF70F5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15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Tech</dc:creator>
  <cp:keywords/>
  <cp:lastModifiedBy>Финакин Антон Олегович</cp:lastModifiedBy>
  <cp:revision>14</cp:revision>
  <cp:lastPrinted>2015-11-03T08:56:00Z</cp:lastPrinted>
  <dcterms:created xsi:type="dcterms:W3CDTF">2015-10-31T10:36:00Z</dcterms:created>
  <dcterms:modified xsi:type="dcterms:W3CDTF">2015-11-10T08:47:00Z</dcterms:modified>
</cp:coreProperties>
</file>